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Новосибирск</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11 мая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ООО "СмартСтафф"</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в лице Директора Митрофанова И.А., действующего на основании Устава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"СмартСтафф"</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630091, г. Новосибирск, ул.Фрунзе 5, офис 604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5405994159</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540601001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40702810723220000934</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ФИЛИАЛ "НОВОСИБИРСКИЙ" АО "АЛЬФА-БАНК"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30101810600000000774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045004774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1175476009114</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630091, г. Новосибирск, ул.Фрунзе 5, офис 604</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nsk.staff-24.ru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info@staff-24.ru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(383) 383-29-27</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Директора</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Митрофанов И. А.</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11 мая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440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(вес единицы груза больше 100 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565</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автомобилем ГАЗель </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690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автомобилем ГАЗель, высотой 2,15 м</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815</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автомобилем ГАЗель, длиной 4м</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815</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автомобилем грузоподъемностью 1,5-3 тонны (объем кузова 18-20м3)</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1000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автомобилем грузоподъемностью 5 тонн (объем кузова 28-35м3)</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1320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автомобилем грузоподъемностью 3 тонны (объем кузова 18-20м3) с аппарелью</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1125</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автомобилем грузоподъемностью 5 тонн (объем кузова 28-35м3) с аппарелью</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1440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автомобилем грузоподъемностью 10 тонн </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1750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автомобилем грузоподъемностью 10 тонн с рефрижератором</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2250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5</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бортовым автомобилем грузоподъемностью 5 тонн с борт-краном, грузоподъемностью 3 тонны</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бортовым автомобилем грузоподъемностью 7 тонн с борт-краном, грузоподъемностью 5 тонн</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2375</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бортовым автомобилем грузоподъемностью 10 тонн с борт-краном, грузоподъемностью 7 тонн</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2875</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5</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автомобилем КАМАЗ</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автомобилем ЗИЛ</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1250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Все цены указаны с учетом НДС.</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Митрофанов И. А.</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11 мая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Митрофанов И. 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11 мая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Митрофанов И. 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11 мая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Митрофанов И. 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